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80"/>
      </w:pPr>
      <w:r>
        <w:rPr>
          <w:b/>
          <w:sz w:val="36"/>
        </w:rPr>
        <w:t xml:space="preserve">[ORGANIZATION NAME] Document Retention and Destruction Policy</w:t>
      </w:r>
    </w:p>
    <w:p>
      <w:pPr>
        <w:spacing w:before="0" w:after="160"/>
      </w:pPr>
      <w:r>
        <w:rPr>
          <w:i/>
          <w:color w:val="555555"/>
          <w:sz w:val="19"/>
        </w:rPr>
        <w:t xml:space="preserve">Replace every [bracket]. Delete the notes in italics before the board adopts it. Schedule A (the retention schedule) is the accompanying spreadsheet; adopt them together.</w:t>
      </w:r>
    </w:p>
    <w:p>
      <w:pPr>
        <w:spacing w:before="320" w:after="80"/>
      </w:pPr>
      <w:r>
        <w:rPr>
          <w:b/>
          <w:color w:val="5A4BA8"/>
          <w:sz w:val="26"/>
        </w:rPr>
        <w:t xml:space="preserve">1. Purpose</w:t>
      </w:r>
    </w:p>
    <w:p>
      <w:pPr>
        <w:spacing w:before="0" w:after="120"/>
      </w:pPr>
      <w:r>
        <w:rPr>
          <w:sz w:val="22"/>
        </w:rPr>
        <w:t xml:space="preserve">This policy identifies the record retention responsibilities of the staff, volunteers, board members, and outside service providers of [ORGANIZATION NAME] (the Organization) for maintaining and documenting the storage and destruction of the Organization's documents and records. It is intended to ensure that records needed to comply with federal and state law, to substantiate the Organization's tax-exempt status and its filings with the Internal Revenue Service, to meet grant and contract requirements, and to conduct the Organization's business are kept for as long as they are needed, and that records no longer needed are destroyed on a schedule rather than by accident or in response to an inquiry.</w:t>
      </w:r>
    </w:p>
    <w:p>
      <w:pPr>
        <w:spacing w:before="0" w:after="120"/>
      </w:pPr>
      <w:r>
        <w:rPr>
          <w:sz w:val="22"/>
        </w:rPr>
        <w:t xml:space="preserve">Federal law makes it a crime to knowingly alter, destroy, mutilate, conceal, cover up, falsify, or make a false entry in a record with the intent to impede, obstruct, or influence the investigation or proper administration of any matter within the jurisdiction of a federal department or agency, or any bankruptcy case, or in relation to or contemplation of any such matter (18 U.S.C. section 1519), and to retaliate against a person for providing truthful information about a federal offense to law enforcement (18 U.S.C. section 1513(e)). This policy is designed so that no record is destroyed while it may be needed for an investigation, audit, claim, or legal proceeding.</w:t>
      </w:r>
    </w:p>
    <w:p>
      <w:pPr>
        <w:spacing w:before="320" w:after="80"/>
      </w:pPr>
      <w:r>
        <w:rPr>
          <w:b/>
          <w:color w:val="5A4BA8"/>
          <w:sz w:val="26"/>
        </w:rPr>
        <w:t xml:space="preserve">2. Scope</w:t>
      </w:r>
    </w:p>
    <w:p>
      <w:pPr>
        <w:spacing w:before="0" w:after="120"/>
      </w:pPr>
      <w:r>
        <w:rPr>
          <w:sz w:val="22"/>
        </w:rPr>
        <w:t xml:space="preserve">This policy applies to all records of the Organization in every format: paper, electronic files, email, messaging platforms, databases, cloud storage, accounting and donor management systems, images, and recordings. It applies to records created or received by employees, volunteers, board and committee members, interns, and outside service providers (including bookkeeping, payroll, and tax preparation providers) in the course of the Organization's business.</w:t>
      </w:r>
    </w:p>
    <w:p>
      <w:pPr>
        <w:spacing w:before="320" w:after="80"/>
      </w:pPr>
      <w:r>
        <w:rPr>
          <w:b/>
          <w:color w:val="5A4BA8"/>
          <w:sz w:val="26"/>
        </w:rPr>
        <w:t xml:space="preserve">3. Definitions</w:t>
      </w:r>
    </w:p>
    <w:p>
      <w:pPr>
        <w:spacing w:before="0" w:after="80"/>
        <w:ind w:left="360"/>
      </w:pPr>
      <w:r>
        <w:rPr>
          <w:sz w:val="22"/>
        </w:rPr>
        <w:t xml:space="preserve">Record: recorded information, in any format, that documents a transaction, decision, activity, or obligation of the Organization.</w:t>
      </w:r>
    </w:p>
    <w:p>
      <w:pPr>
        <w:spacing w:before="0" w:after="80"/>
        <w:ind w:left="360"/>
      </w:pPr>
      <w:r>
        <w:rPr>
          <w:sz w:val="22"/>
        </w:rPr>
        <w:t xml:space="preserve">Official record: the copy designated as the Organization's record of an item, kept in the location named in Section 5. Other copies are convenience copies and may be discarded when no longer useful, unless a hold is in effect.</w:t>
      </w:r>
    </w:p>
    <w:p>
      <w:pPr>
        <w:spacing w:before="0" w:after="80"/>
        <w:ind w:left="360"/>
      </w:pPr>
      <w:r>
        <w:rPr>
          <w:sz w:val="22"/>
        </w:rPr>
        <w:t xml:space="preserve">Retention period: the length of time an official record must be kept, as set out in Schedule A, counted from the trigger date shown there.</w:t>
      </w:r>
    </w:p>
    <w:p>
      <w:pPr>
        <w:spacing w:before="0" w:after="80"/>
        <w:ind w:left="360"/>
      </w:pPr>
      <w:r>
        <w:rPr>
          <w:sz w:val="22"/>
        </w:rPr>
        <w:t xml:space="preserve">Destruction: shredding or otherwise rendering paper records unreadable, and secure deletion of electronic records, including copies in backups where reasonably feasible.</w:t>
      </w:r>
    </w:p>
    <w:p>
      <w:pPr>
        <w:spacing w:before="0" w:after="80"/>
        <w:ind w:left="360"/>
      </w:pPr>
      <w:r>
        <w:rPr>
          <w:sz w:val="22"/>
        </w:rPr>
        <w:t xml:space="preserve">Hold: a written instruction under Section 7 suspending destruction of specified records.</w:t>
      </w:r>
    </w:p>
    <w:p>
      <w:pPr>
        <w:spacing w:before="320" w:after="80"/>
      </w:pPr>
      <w:r>
        <w:rPr>
          <w:b/>
          <w:color w:val="5A4BA8"/>
          <w:sz w:val="26"/>
        </w:rPr>
        <w:t xml:space="preserve">4. Responsibilities</w:t>
      </w:r>
    </w:p>
    <w:p>
      <w:pPr>
        <w:spacing w:before="0" w:after="80"/>
        <w:ind w:left="360"/>
      </w:pPr>
      <w:r>
        <w:rPr>
          <w:sz w:val="22"/>
        </w:rPr>
        <w:t xml:space="preserve">The [Executive Director / Records Officer] is responsible for administering this policy, maintaining Schedule A, answering questions about it, and approving destruction.</w:t>
      </w:r>
    </w:p>
    <w:p>
      <w:pPr>
        <w:spacing w:before="0" w:after="80"/>
        <w:ind w:left="360"/>
      </w:pPr>
      <w:r>
        <w:rPr>
          <w:sz w:val="22"/>
        </w:rPr>
        <w:t xml:space="preserve">The Secretary of the board keeps the official minutes, resolutions, written consents, adopted policies, and governance records.</w:t>
      </w:r>
    </w:p>
    <w:p>
      <w:pPr>
        <w:spacing w:before="0" w:after="80"/>
        <w:ind w:left="360"/>
      </w:pPr>
      <w:r>
        <w:rPr>
          <w:sz w:val="22"/>
        </w:rPr>
        <w:t xml:space="preserve">The [Treasurer / Finance Director] and the Organization's bookkeeping and tax preparation providers keep the accounting, tax, payroll, and grant financial records described in Schedule A, in the systems and locations named in Section 5.</w:t>
      </w:r>
    </w:p>
    <w:p>
      <w:pPr>
        <w:spacing w:before="0" w:after="80"/>
        <w:ind w:left="360"/>
      </w:pPr>
      <w:r>
        <w:rPr>
          <w:sz w:val="22"/>
        </w:rPr>
        <w:t xml:space="preserve">Every person covered by this policy is responsible for filing the records they create or receive into the Organization's record systems and for not destroying an official record except as this policy allows.</w:t>
      </w:r>
    </w:p>
    <w:p>
      <w:pPr>
        <w:spacing w:before="0" w:after="80"/>
        <w:ind w:left="360"/>
      </w:pPr>
      <w:r>
        <w:rPr>
          <w:sz w:val="22"/>
        </w:rPr>
        <w:t xml:space="preserve">Outside service providers holding Organization records agree, by contract or engagement letter, to retain and return or destroy them in accordance with this policy and Schedule A.</w:t>
      </w:r>
    </w:p>
    <w:p>
      <w:pPr>
        <w:spacing w:before="320" w:after="80"/>
      </w:pPr>
      <w:r>
        <w:rPr>
          <w:b/>
          <w:color w:val="5A4BA8"/>
          <w:sz w:val="26"/>
        </w:rPr>
        <w:t xml:space="preserve">5. Storage and electronic records</w:t>
      </w:r>
    </w:p>
    <w:p>
      <w:pPr>
        <w:spacing w:before="0" w:after="120"/>
      </w:pPr>
      <w:r>
        <w:rPr>
          <w:sz w:val="22"/>
        </w:rPr>
        <w:t xml:space="preserve">Official records are kept in the following locations: governance records in [location, e.g., the board portal and the corporate minute book]; accounting, tax, and payroll records in [accounting system and document storage]; donor records in [donor database]; personnel records in [HR system or locked file]; grant records in [location]. Records are stored so that they remain readable and retrievable for the full retention period, including when software or storage systems change. Electronic records are backed up on a regular schedule, and the reliability of backups is checked at least [annually]. Access to records containing personal, financial, or health information is limited to persons who need it.</w:t>
      </w:r>
    </w:p>
    <w:p>
      <w:pPr>
        <w:spacing w:before="0" w:after="120"/>
      </w:pPr>
      <w:r>
        <w:rPr>
          <w:sz w:val="22"/>
        </w:rPr>
        <w:t xml:space="preserve">Email and messages that document a transaction, decision, or obligation are records and are filed into the appropriate record system; the mailbox or messaging platform is not the official record location. Paper originals may be scanned and the scan kept as the official record if the image is complete and legible, except where law or a funder requires the original.</w:t>
      </w:r>
    </w:p>
    <w:p>
      <w:pPr>
        <w:spacing w:before="320" w:after="80"/>
      </w:pPr>
      <w:r>
        <w:rPr>
          <w:b/>
          <w:color w:val="5A4BA8"/>
          <w:sz w:val="26"/>
        </w:rPr>
        <w:t xml:space="preserve">6. Retention schedule and destruction</w:t>
      </w:r>
    </w:p>
    <w:p>
      <w:pPr>
        <w:spacing w:before="0" w:after="120"/>
      </w:pPr>
      <w:r>
        <w:rPr>
          <w:sz w:val="22"/>
        </w:rPr>
        <w:t xml:space="preserve">Schedule A lists the classes of records the Organization keeps, the retention period for each, the date the period is counted from, and the legal or contractual authority. Where a law, regulation, grant agreement, contract, or insurance policy requires a longer period than Schedule A, the longer period applies. Where no period is listed and the requirement is unclear, the record is kept until the [Executive Director / Records Officer] determines the period after consulting the Organization's accountant or counsel.</w:t>
      </w:r>
    </w:p>
    <w:p>
      <w:pPr>
        <w:spacing w:before="0" w:after="120"/>
      </w:pPr>
      <w:r>
        <w:rPr>
          <w:sz w:val="22"/>
        </w:rPr>
        <w:t xml:space="preserve">When a retention period has expired, the record is destroyed within [90 days], provided that no hold applies. Destruction is recorded in the destruction log (Schedule A, sheet 3) showing the record class, the date range destroyed, the method, the date, the person who carried out the destruction, and the person who approved it, and confirming that the hold list was checked. Paper records are shredded; electronic records are securely deleted from active systems and, where reasonably feasible, from backups. Records containing personal information are destroyed in a manner that prevents reconstruction.</w:t>
      </w:r>
    </w:p>
    <w:p>
      <w:pPr>
        <w:spacing w:before="320" w:after="80"/>
      </w:pPr>
      <w:r>
        <w:rPr>
          <w:b/>
          <w:color w:val="5A4BA8"/>
          <w:sz w:val="26"/>
        </w:rPr>
        <w:t xml:space="preserve">7. Suspension of destruction: investigation, audit, and litigation holds</w:t>
      </w:r>
    </w:p>
    <w:p>
      <w:pPr>
        <w:spacing w:before="0" w:after="120"/>
      </w:pPr>
      <w:r>
        <w:rPr>
          <w:sz w:val="22"/>
        </w:rPr>
        <w:t xml:space="preserve">If the Organization receives notice of, or reasonably anticipates, a government investigation or inquiry, an audit (including a grant or single audit), a subpoena or records request, a claim, or litigation, the [Executive Director], in consultation with the Board Chair and, where appropriate, counsel, issues a written hold identifying the matter and the records covered. From the moment a hold is anticipated, destruction of records that may be relevant stops, whether or not their retention period has expired. The hold is communicated to every person and provider holding covered records, entered in the hold log (Schedule A, sheet 2), and reviewed periodically. It is released only in writing when the matter is resolved and, for federal awards, when all litigation, claims, or audit findings involving the records have been resolved and final action taken. Outside service providers holding Organization records agree to notify the [Executive Director] promptly of any subpoena, records request, audit notice, or inquiry they receive concerning those records, and to suspend destruction on the same terms.</w:t>
      </w:r>
    </w:p>
    <w:p>
      <w:pPr>
        <w:spacing w:before="320" w:after="80"/>
      </w:pPr>
      <w:r>
        <w:rPr>
          <w:b/>
          <w:color w:val="5A4BA8"/>
          <w:sz w:val="26"/>
        </w:rPr>
        <w:t xml:space="preserve">8. Compliance</w:t>
      </w:r>
    </w:p>
    <w:p>
      <w:pPr>
        <w:spacing w:before="0" w:after="120"/>
      </w:pPr>
      <w:r>
        <w:rPr>
          <w:sz w:val="22"/>
        </w:rPr>
        <w:t xml:space="preserve">Failure to comply with this policy, including the destruction of records in violation of Section 6 or 7, may result in disciplinary action up to and including termination of employment, removal from a volunteer or board position, or termination of a service contract, and may expose the individual to civil or criminal liability. Questions about whether a record may be destroyed are referred to the [Executive Director / Records Officer] before any action is taken.</w:t>
      </w:r>
    </w:p>
    <w:p>
      <w:pPr>
        <w:spacing w:before="320" w:after="80"/>
      </w:pPr>
      <w:r>
        <w:rPr>
          <w:b/>
          <w:color w:val="5A4BA8"/>
          <w:sz w:val="26"/>
        </w:rPr>
        <w:t xml:space="preserve">9. Review</w:t>
      </w:r>
    </w:p>
    <w:p>
      <w:pPr>
        <w:spacing w:before="0" w:after="120"/>
      </w:pPr>
      <w:r>
        <w:rPr>
          <w:sz w:val="22"/>
        </w:rPr>
        <w:t xml:space="preserve">The board reviews this policy and Schedule A at least every [two] years and whenever the Organization begins receiving federal awards, adds employees, changes its state of operation, or changes its record systems. Changes to Schedule A that do not shorten a legal minimum may be approved by the [Executive Director] and reported to the board.</w:t>
      </w:r>
    </w:p>
    <w:p>
      <w:pPr>
        <w:spacing w:before="320" w:after="80"/>
      </w:pPr>
      <w:r>
        <w:rPr>
          <w:b/>
          <w:color w:val="5A4BA8"/>
          <w:sz w:val="26"/>
        </w:rPr>
        <w:t xml:space="preserve">Adoption</w:t>
      </w:r>
    </w:p>
    <w:p>
      <w:pPr>
        <w:spacing w:before="0" w:after="120"/>
      </w:pPr>
      <w:r>
        <w:rPr>
          <w:sz w:val="22"/>
        </w:rPr>
        <w:t xml:space="preserve">This Document Retention and Destruction Policy, with Schedule A, was adopted by the Board of Directors of [ORGANIZATION NAME] on [DATE] by a vote of [__] in favor and [__] opposed, with [__] abstaining. It applies to the Organization as a whole and replaces any earlier retention policy.</w:t>
      </w:r>
    </w:p>
    <w:p>
      <w:pPr>
        <w:spacing w:before="0" w:after="120"/>
      </w:pPr>
      <w:r>
        <w:rPr>
          <w:sz w:val="22"/>
        </w:rPr>
        <w:t xml:space="preserve">______________________________________     Date: ______________</w:t>
      </w:r>
    </w:p>
    <w:p>
      <w:pPr>
        <w:spacing w:before="0" w:after="120"/>
      </w:pPr>
      <w:r>
        <w:rPr>
          <w:sz w:val="22"/>
        </w:rPr>
        <w:t xml:space="preserve">[NAME], Secretary</w:t>
      </w:r>
    </w:p>
    <w:p>
      <w:pPr>
        <w:spacing w:before="0" w:after="120"/>
      </w:pPr>
      <w:r>
        <w:rPr>
          <w:sz w:val="22"/>
        </w:rPr>
        <w:t xml:space="preserve">Next scheduled review: [MONTH YEAR]</w:t>
      </w:r>
    </w:p>
    <w:p>
      <w:pPr>
        <w:spacing w:before="320" w:after="80"/>
      </w:pPr>
      <w:r>
        <w:rPr>
          <w:b/>
          <w:color w:val="5A4BA8"/>
          <w:sz w:val="26"/>
        </w:rPr>
        <w:t xml:space="preserve">Editing notes (delete before adoption)</w:t>
      </w:r>
    </w:p>
    <w:p>
      <w:pPr>
        <w:spacing w:before="0" w:after="160"/>
      </w:pPr>
      <w:r>
        <w:rPr>
          <w:i/>
          <w:color w:val="555555"/>
          <w:sz w:val="19"/>
        </w:rPr>
        <w:t xml:space="preserve">Form 990. Part VI line 14 asks whether the organization had a written document retention and destruction policy. Answer "Yes" only if the board (or a committee with delegated authority) adopted the policy by the end of the tax year and it applies to the organization as a whole. Form 990-EZ has no governance section, but the Form 990-EZ instructions carry the same 3-year recordkeeping rule.</w:t>
      </w:r>
    </w:p>
    <w:p>
      <w:pPr>
        <w:spacing w:before="0" w:after="160"/>
      </w:pPr>
      <w:r>
        <w:rPr>
          <w:i/>
          <w:color w:val="555555"/>
          <w:sz w:val="19"/>
        </w:rPr>
        <w:t xml:space="preserve">Federal awards. 2 CFR 200.334 sets 3 years from submission of the final financial report, with the litigation, audit, and written-notice exceptions in the federal award row and the equipment and indirect cost rate exceptions as their own rows. Two further exceptions are not in Schedule A: records transferred to or maintained by the Federal agency (200.334(d)), and program income earned after the period of performance, which runs 3 years from the end of the fiscal year in which it is earned (200.334(e)); add a row if either applies. Agency or pass-through terms may not add other retention requirements, and access rights last as long as the records are retained (200.337(c)).</w:t>
      </w:r>
    </w:p>
    <w:p>
      <w:pPr>
        <w:spacing w:before="0" w:after="160"/>
      </w:pPr>
      <w:r>
        <w:rPr>
          <w:i/>
          <w:color w:val="555555"/>
          <w:sz w:val="19"/>
        </w:rPr>
        <w:t xml:space="preserve">New York. No provision of the Not-for-Profit Corporation Law requires a written retention policy, but N-PCL section 621 requires correct and complete books and records of account and minutes of members, board, and executive committee, kept at the office, and gives members inspection rights. The Attorney General's internal-controls guidance lists an appropriate records retention policy among expected controls.</w:t>
      </w:r>
    </w:p>
    <w:p>
      <w:pPr>
        <w:spacing w:before="0" w:after="160"/>
      </w:pPr>
      <w:r>
        <w:rPr>
          <w:i/>
          <w:color w:val="555555"/>
          <w:sz w:val="19"/>
        </w:rPr>
        <w:t xml:space="preserve">California. Corporations Code section 6320 requires adequate and correct books and records of account, minutes of members, board, and committees, and a membership record; directors have an absolute right to inspect (section 6334). Labor Code section 1174(d) requires payroll records for at least three years; Government Code section 12946 requires personnel and application records for four years; the EDD requires payroll tax records for four years; organizations registered with the Attorney General with gross revenue of $2,000,000 or more (excluding government funds the agency requires an accounting for) must have audited statements available within nine months of year end (Government Code section 12586(e)).</w:t>
      </w:r>
    </w:p>
    <w:p>
      <w:pPr>
        <w:spacing w:before="0" w:after="160"/>
      </w:pPr>
      <w:r>
        <w:rPr>
          <w:i/>
          <w:color w:val="555555"/>
          <w:sz w:val="19"/>
        </w:rPr>
        <w:t xml:space="preserve">Other states and funders. Check the corporations code of the state of incorporation, state charitable registration rules, and every grant agreement and insurance policy. Have counsel read the policy once before adoption.</w:t>
      </w:r>
    </w:p>
    <w:p>
      <w:pPr>
        <w:spacing w:before="360" w:after="120"/>
      </w:pPr>
      <w:r>
        <w:rPr>
          <w:color w:val="777777"/>
          <w:sz w:val="16"/>
        </w:rPr>
        <w:t xml:space="preserve">Provided free by GivingArc (givingarc.com) · Template only, not legal advice · Sources checked September 2026</w:t>
      </w:r>
    </w:p>
    <w:sectPr>
      <w:pgSz w:w="12240" w:h="15840"/>
      <w:pgMar w:top="1200" w:right="1300" w:bottom="1200" w:left="1300"/>
    </w:sectPr>
  </w:body>
</w:document>
</file>

<file path=word/styles.xml><?xml version="1.0" encoding="utf-8"?>
<w:styles xmlns:w="http://schemas.openxmlformats.org/wordprocessingml/2006/main">
  <w:docDefaults>
    <w:rPrDefault>
      <w:rPr>
        <w:rFonts w:ascii="Calibri" w:hAnsi="Calibri" w:cs="Calibri"/>
        <w:sz w:val="22"/>
      </w:rPr>
    </w:rPrDefault>
  </w:docDefaults>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